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C30F0D">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C30F0D">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C30F0D">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C30F0D">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C30F0D">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C30F0D">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C30F0D">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C30F0D">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C30F0D">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C30F0D">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C30F0D">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C30F0D">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C30F0D">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C30F0D">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C30F0D">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C30F0D">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C30F0D">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C30F0D">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C30F0D">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C30F0D">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C30F0D">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C30F0D">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C30F0D">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C30F0D">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C30F0D">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C30F0D">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C30F0D">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C30F0D">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C30F0D">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C30F0D">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C30F0D">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C30F0D">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C30F0D">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C30F0D">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C30F0D">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C30F0D">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C30F0D">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C30F0D">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C30F0D">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C30F0D">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C30F0D">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C30F0D">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C30F0D">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C30F0D">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C30F0D">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C30F0D">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330481D" w:rsidR="00093CA9" w:rsidRDefault="00303194" w:rsidP="00093CA9">
            <w:r w:rsidRPr="00303194">
              <w:t>Olaniwun Ajayi</w:t>
            </w:r>
            <w:r w:rsidR="00742DFB">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80BFCD2" w:rsidR="00093CA9" w:rsidRDefault="006B1C4A" w:rsidP="00093CA9">
            <w:r w:rsidRPr="006B1C4A">
              <w:t>Carbon Market Activation Policy</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CD5911B" w:rsidR="00093CA9" w:rsidRDefault="00C30F0D" w:rsidP="00093CA9">
            <w:hyperlink r:id="rId17" w:history="1">
              <w:r w:rsidR="00DE3C8C" w:rsidRPr="007277F5">
                <w:rPr>
                  <w:rStyle w:val="Hyperlink"/>
                </w:rPr>
                <w:t>https://ossapcfse.org/wp-content/uploads/2025/04/Nigerias-Carbon-Market-Activation-Policy-Draft-020425.pdf</w:t>
              </w:r>
            </w:hyperlink>
            <w:r w:rsidR="00DE3C8C">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EC3EA3C" w:rsidR="00093CA9" w:rsidRDefault="006B1C4A"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2DF94E13" w14:textId="77777777" w:rsidR="007B278E" w:rsidRDefault="0033114B" w:rsidP="0033114B">
            <w:pPr>
              <w:jc w:val="both"/>
            </w:pPr>
            <w:r w:rsidRPr="0033114B">
              <w:t xml:space="preserve">The policy tool is Nigeria’s </w:t>
            </w:r>
            <w:r w:rsidRPr="0033114B">
              <w:rPr>
                <w:i/>
                <w:iCs/>
              </w:rPr>
              <w:t>Carbon Market Activation Policy</w:t>
            </w:r>
            <w:r>
              <w:rPr>
                <w:i/>
                <w:iCs/>
              </w:rPr>
              <w:t xml:space="preserve"> </w:t>
            </w:r>
            <w:r w:rsidRPr="0033114B">
              <w:t xml:space="preserve">which is developed by the National Council on Climate Change (NCCC) to establish the enabling framework for a </w:t>
            </w:r>
            <w:r>
              <w:t>robust</w:t>
            </w:r>
            <w:r w:rsidRPr="0033114B">
              <w:t xml:space="preserve"> carbon market in Nigeria. The</w:t>
            </w:r>
            <w:r>
              <w:t xml:space="preserve"> policy</w:t>
            </w:r>
            <w:r w:rsidRPr="0033114B">
              <w:t xml:space="preserve"> seeks to unlock climate finance, incentivize emission reductions, and position Nigeria as a competitive player in both compliance and voluntary carbon markets globally. It sets out principles and strategies to operationalize a national carbon market architecture that includes registration of carbon credit projects, issuance of carbon credits, trading platforms, and monitoring, reporting, and verification mechanisms.</w:t>
            </w:r>
          </w:p>
          <w:p w14:paraId="18257824" w14:textId="7E467C1F" w:rsidR="00093CA9" w:rsidRDefault="007B278E" w:rsidP="0033114B">
            <w:pPr>
              <w:jc w:val="both"/>
            </w:pPr>
            <w:r>
              <w:t>The policy tool is expected to unlock up to $2.5 billion in high-integrity carbon credits and associated investment by 2030.</w:t>
            </w:r>
            <w:r w:rsidR="0033114B" w:rsidRPr="0033114B">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EDCDC2B" w:rsidR="00093CA9" w:rsidRDefault="007B278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58D9FAE" w:rsidR="00093CA9" w:rsidRPr="00173D7C" w:rsidRDefault="0033114B" w:rsidP="00093CA9">
            <w:pPr>
              <w:rPr>
                <w:color w:val="000000" w:themeColor="text1"/>
              </w:rPr>
            </w:pPr>
            <w:r>
              <w:rPr>
                <w:color w:val="000000" w:themeColor="text1"/>
              </w:rPr>
              <w:t xml:space="preserve">The </w:t>
            </w:r>
            <w:r w:rsidR="007B278E">
              <w:rPr>
                <w:color w:val="000000" w:themeColor="text1"/>
              </w:rPr>
              <w:t>policy tool under review is a draft</w:t>
            </w:r>
            <w:r>
              <w:rPr>
                <w:color w:val="000000" w:themeColor="text1"/>
              </w:rPr>
              <w:t xml:space="preserve"> </w:t>
            </w:r>
            <w:r w:rsidR="007B278E">
              <w:rPr>
                <w:color w:val="000000" w:themeColor="text1"/>
              </w:rPr>
              <w:t>published in September 2024</w:t>
            </w:r>
            <w:r>
              <w:rPr>
                <w:color w:val="000000" w:themeColor="text1"/>
              </w:rPr>
              <w:t xml:space="preserve">. However, </w:t>
            </w:r>
            <w:r w:rsidR="007B278E">
              <w:rPr>
                <w:color w:val="000000" w:themeColor="text1"/>
              </w:rPr>
              <w:t>it was finalized in March 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694A4ED" w:rsidR="00093CA9" w:rsidRPr="00173D7C" w:rsidRDefault="007B278E"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093E122" w:rsidR="00093CA9" w:rsidRDefault="0052756D" w:rsidP="00093CA9">
            <w:r>
              <w:t xml:space="preserve"> </w:t>
            </w:r>
            <w:r w:rsidR="00AE17A9">
              <w:t xml:space="preserve">The Federal Inland Revenue Services in collaboration with the </w:t>
            </w:r>
            <w:r w:rsidR="00AE17A9" w:rsidRPr="007E295B">
              <w:t>National Council on Climate Change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66233DE" w:rsidR="00093CA9" w:rsidRPr="006B7B0D" w:rsidRDefault="00AE17A9" w:rsidP="00093CA9">
            <w:r>
              <w:t>National Council on Climate Change (NCCC)</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578D8AAF"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C0E455F" w:rsidR="00093CA9" w:rsidRPr="006B7B0D" w:rsidRDefault="00AE17A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6E872FD" w:rsidR="00093CA9" w:rsidRPr="006B7B0D" w:rsidRDefault="00AE17A9" w:rsidP="00093CA9">
            <w:r>
              <w:t>Federal Inland Revenue Services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6E90091B" w:rsidR="00093CA9" w:rsidRPr="006B7B0D" w:rsidRDefault="00AE17A9"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0CCD96EB" w:rsidR="00093CA9" w:rsidRPr="006B7B0D" w:rsidRDefault="0024327D" w:rsidP="00093CA9">
            <w:r>
              <w:t>Federal Ministry of Environment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46236639" w:rsidR="00093CA9" w:rsidRPr="006B7B0D" w:rsidRDefault="0024327D"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0BFF6F64" w:rsidR="00093CA9" w:rsidRPr="006B7B0D" w:rsidRDefault="0024327D" w:rsidP="00093CA9">
            <w:r w:rsidRPr="0024327D">
              <w:t>Intergovernmental Committee on Carbon Market Activation (IGCCMA)</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EA09379" w:rsidR="00093CA9" w:rsidRPr="006B7B0D" w:rsidRDefault="0024327D" w:rsidP="00093CA9">
            <w:r>
              <w:t>x</w:t>
            </w:r>
          </w:p>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192BAF2A" w:rsidR="00093CA9" w:rsidRPr="006B7B0D" w:rsidRDefault="0024327D" w:rsidP="00093CA9">
            <w:r w:rsidRPr="0024327D">
              <w:t>Federal Ministry of Industry, Trade and Investment (FMITI)</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00A78C7A" w:rsidR="00093CA9" w:rsidRPr="006B7B0D" w:rsidRDefault="0024327D" w:rsidP="00093CA9">
            <w:r>
              <w:t>x</w:t>
            </w:r>
          </w:p>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37866B12"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ACB43F3" w:rsidR="00093CA9" w:rsidRDefault="0024327D"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F381B02" w14:textId="77777777" w:rsidR="00093CA9" w:rsidRDefault="0024327D" w:rsidP="00093CA9">
            <w:pPr>
              <w:keepNext/>
              <w:rPr>
                <w:color w:val="000000" w:themeColor="text1"/>
              </w:rPr>
            </w:pPr>
            <w:r>
              <w:rPr>
                <w:color w:val="000000" w:themeColor="text1"/>
              </w:rPr>
              <w:t>Yes. The policy tool recommends the following monitoring systems:</w:t>
            </w:r>
          </w:p>
          <w:p w14:paraId="00CA2E8A" w14:textId="77777777" w:rsidR="0024327D" w:rsidRDefault="0024327D" w:rsidP="0024327D">
            <w:pPr>
              <w:pStyle w:val="ListParagraph"/>
              <w:keepNext/>
              <w:numPr>
                <w:ilvl w:val="0"/>
                <w:numId w:val="49"/>
              </w:numPr>
              <w:rPr>
                <w:color w:val="000000" w:themeColor="text1"/>
              </w:rPr>
            </w:pPr>
            <w:r>
              <w:rPr>
                <w:color w:val="000000" w:themeColor="text1"/>
              </w:rPr>
              <w:t>Monitoring and Evaluation of Policy Impact (page 13-14): the policy recommends regular monitoring and evaluation of the overall effectiveness of the policy, which would be carried out by the relevant government authorities to ensure alignment with Nigeria’s NDC targets.</w:t>
            </w:r>
          </w:p>
          <w:p w14:paraId="165F9D63" w14:textId="5833236C" w:rsidR="0024327D" w:rsidRDefault="0024327D" w:rsidP="0024327D">
            <w:pPr>
              <w:pStyle w:val="ListParagraph"/>
              <w:keepNext/>
              <w:numPr>
                <w:ilvl w:val="0"/>
                <w:numId w:val="49"/>
              </w:numPr>
              <w:jc w:val="both"/>
              <w:rPr>
                <w:color w:val="000000" w:themeColor="text1"/>
              </w:rPr>
            </w:pPr>
            <w:r>
              <w:rPr>
                <w:color w:val="000000" w:themeColor="text1"/>
              </w:rPr>
              <w:t>National Carbon Registry</w:t>
            </w:r>
            <w:r w:rsidR="00B51E42">
              <w:rPr>
                <w:color w:val="000000" w:themeColor="text1"/>
              </w:rPr>
              <w:t xml:space="preserve"> (page 33)</w:t>
            </w:r>
            <w:r>
              <w:rPr>
                <w:color w:val="000000" w:themeColor="text1"/>
              </w:rPr>
              <w:t xml:space="preserve">: the policy prescribes the launch of a national carbon registry to provide a centralized repository of information on carbon market activities, including real-time information on </w:t>
            </w:r>
            <w:r w:rsidRPr="0024327D">
              <w:rPr>
                <w:color w:val="000000" w:themeColor="text1"/>
              </w:rPr>
              <w:t>projects, credit availability, issuance, trading, and retirements.</w:t>
            </w:r>
            <w:r w:rsidR="005C142E">
              <w:rPr>
                <w:color w:val="000000" w:themeColor="text1"/>
              </w:rPr>
              <w:t xml:space="preserve"> </w:t>
            </w:r>
          </w:p>
          <w:p w14:paraId="5ABCEB80" w14:textId="77777777" w:rsidR="005C142E" w:rsidRDefault="00B51E42" w:rsidP="0024327D">
            <w:pPr>
              <w:pStyle w:val="ListParagraph"/>
              <w:keepNext/>
              <w:numPr>
                <w:ilvl w:val="0"/>
                <w:numId w:val="49"/>
              </w:numPr>
              <w:jc w:val="both"/>
              <w:rPr>
                <w:color w:val="000000" w:themeColor="text1"/>
              </w:rPr>
            </w:pPr>
            <w:r>
              <w:rPr>
                <w:color w:val="000000" w:themeColor="text1"/>
              </w:rPr>
              <w:t>Monitoring, Reporting and Verification (page 33): Project developers are expected to adopt stringent MRV standards and methodologies to ensure the environmental integrity of carbon credits.</w:t>
            </w:r>
          </w:p>
          <w:p w14:paraId="2C2128DB" w14:textId="48A4F5A8" w:rsidR="00B51E42" w:rsidRPr="0024327D" w:rsidRDefault="00B51E42" w:rsidP="0024327D">
            <w:pPr>
              <w:pStyle w:val="ListParagraph"/>
              <w:keepNext/>
              <w:numPr>
                <w:ilvl w:val="0"/>
                <w:numId w:val="49"/>
              </w:numPr>
              <w:jc w:val="both"/>
              <w:rPr>
                <w:color w:val="000000" w:themeColor="text1"/>
              </w:rPr>
            </w:pPr>
            <w:r>
              <w:rPr>
                <w:color w:val="000000" w:themeColor="text1"/>
              </w:rPr>
              <w:t>Third-party verification (page 36): entities covered by the carbon tax scheme will be required to submit third-party verified GHG emissions reports, and maintain records on data and methodologies used for reporting.</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B1C4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B1C4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D339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10684373" w:rsidR="00D4323A" w:rsidRPr="00CF2E7C" w:rsidRDefault="00293E60" w:rsidP="00CF2E7C">
            <w:pPr>
              <w:rPr>
                <w:rFonts w:ascii="Calibri" w:hAnsi="Calibri" w:cs="Calibri"/>
              </w:rPr>
            </w:pPr>
            <w:r>
              <w:rPr>
                <w:rFonts w:ascii="Calibri" w:hAnsi="Calibri" w:cs="Calibri"/>
              </w:rPr>
              <w:t>X</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25EB92E" w:rsidR="00092534" w:rsidRPr="00CF2E7C" w:rsidRDefault="00355F46" w:rsidP="00355F46">
            <w:pPr>
              <w:jc w:val="center"/>
              <w:rPr>
                <w:rFonts w:ascii="Calibri" w:hAnsi="Calibri" w:cs="Calibri"/>
              </w:rPr>
            </w:pPr>
            <w:r>
              <w:rPr>
                <w:rFonts w:ascii="Calibri" w:hAnsi="Calibri" w:cs="Calibri"/>
              </w:rPr>
              <w:t>X</w:t>
            </w: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36F2FC18" w:rsidR="00092534" w:rsidRPr="00CF2E7C" w:rsidRDefault="00355F46" w:rsidP="00CF2E7C">
            <w:pPr>
              <w:rPr>
                <w:rFonts w:ascii="Calibri" w:hAnsi="Calibri" w:cs="Calibri"/>
              </w:rPr>
            </w:pPr>
            <w:r>
              <w:rPr>
                <w:rFonts w:ascii="Calibri" w:hAnsi="Calibri" w:cs="Calibri"/>
              </w:rPr>
              <w:t>x</w:t>
            </w: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6AF5E6FC" w:rsidR="00092534" w:rsidRPr="00CF2E7C" w:rsidRDefault="00355F46" w:rsidP="00CF2E7C">
            <w:pP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22BDEB3A" w:rsidR="00092534" w:rsidRPr="00CF2E7C" w:rsidRDefault="00355F46" w:rsidP="00CF2E7C">
            <w:pPr>
              <w:rPr>
                <w:rFonts w:ascii="Calibri" w:hAnsi="Calibri" w:cs="Calibri"/>
              </w:rPr>
            </w:pPr>
            <w:r>
              <w:rPr>
                <w:rFonts w:ascii="Calibri" w:hAnsi="Calibri" w:cs="Calibri"/>
              </w:rPr>
              <w:t>x</w:t>
            </w: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6AB465B" w:rsidR="00092534" w:rsidRPr="00CF2E7C" w:rsidRDefault="00355F46" w:rsidP="00CF2E7C">
            <w:pPr>
              <w:rPr>
                <w:rFonts w:ascii="Calibri" w:hAnsi="Calibri" w:cs="Calibri"/>
              </w:rPr>
            </w:pPr>
            <w:r>
              <w:rPr>
                <w:rFonts w:ascii="Calibri" w:hAnsi="Calibri" w:cs="Calibri"/>
              </w:rPr>
              <w:t>x</w:t>
            </w: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23B71828" w:rsidR="00092534" w:rsidRPr="00CF2E7C" w:rsidRDefault="00355F46"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42267D30" w:rsidR="00092534" w:rsidRPr="00CF2E7C" w:rsidRDefault="00355F46"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673CEBED" w:rsidR="00092534" w:rsidRPr="00CF2E7C" w:rsidRDefault="00355F46" w:rsidP="00CF2E7C">
            <w:pPr>
              <w:rPr>
                <w:rFonts w:ascii="Calibri" w:hAnsi="Calibri" w:cs="Calibri"/>
              </w:rPr>
            </w:pPr>
            <w:r>
              <w:rPr>
                <w:rFonts w:ascii="Calibri" w:hAnsi="Calibri" w:cs="Calibri"/>
              </w:rPr>
              <w:t>x</w:t>
            </w:r>
          </w:p>
        </w:tc>
        <w:tc>
          <w:tcPr>
            <w:tcW w:w="1723" w:type="dxa"/>
            <w:vAlign w:val="center"/>
          </w:tcPr>
          <w:p w14:paraId="237D287F" w14:textId="2733C15C"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31B38AAC" w:rsidR="00092534" w:rsidRPr="00CF2E7C" w:rsidRDefault="00355F46" w:rsidP="00CF2E7C">
            <w:pPr>
              <w:rPr>
                <w:rFonts w:ascii="Calibri" w:hAnsi="Calibri" w:cs="Calibri"/>
              </w:rPr>
            </w:pPr>
            <w:r>
              <w:rPr>
                <w:rFonts w:ascii="Calibri" w:hAnsi="Calibri" w:cs="Calibri"/>
              </w:rPr>
              <w:t>x</w:t>
            </w:r>
          </w:p>
        </w:tc>
        <w:tc>
          <w:tcPr>
            <w:tcW w:w="1723" w:type="dxa"/>
            <w:vAlign w:val="center"/>
          </w:tcPr>
          <w:p w14:paraId="2CAEE982" w14:textId="4FDBC4CC"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67B5118C" w:rsidR="00092534" w:rsidRPr="00CF2E7C" w:rsidRDefault="00355F46"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286F06CC" w:rsidR="00092534" w:rsidRPr="00CF2E7C" w:rsidRDefault="00355F46"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3D19978F" w:rsidR="00092534" w:rsidRPr="00CF2E7C" w:rsidRDefault="00355F46" w:rsidP="00CF2E7C">
            <w:pPr>
              <w:rPr>
                <w:rFonts w:ascii="Calibri" w:hAnsi="Calibri" w:cs="Calibri"/>
              </w:rPr>
            </w:pPr>
            <w:r>
              <w:rPr>
                <w:rFonts w:ascii="Calibri" w:hAnsi="Calibri" w:cs="Calibri"/>
              </w:rPr>
              <w:t>x</w:t>
            </w:r>
          </w:p>
        </w:tc>
        <w:tc>
          <w:tcPr>
            <w:tcW w:w="1723" w:type="dxa"/>
            <w:vAlign w:val="center"/>
          </w:tcPr>
          <w:p w14:paraId="014F7959" w14:textId="19D80D70"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108835EA" w:rsidR="00092534" w:rsidRPr="00CF2E7C" w:rsidRDefault="00355F46" w:rsidP="00CF2E7C">
            <w:pPr>
              <w:rPr>
                <w:rFonts w:ascii="Calibri" w:hAnsi="Calibri" w:cs="Calibri"/>
              </w:rPr>
            </w:pPr>
            <w:r>
              <w:rPr>
                <w:rFonts w:ascii="Calibri" w:hAnsi="Calibri" w:cs="Calibri"/>
              </w:rPr>
              <w:t>x</w:t>
            </w: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54891CA3" w:rsidR="00092534" w:rsidRPr="00CF2E7C" w:rsidRDefault="00355F46"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2B1C6FC2" w:rsidR="00092534" w:rsidRPr="00CF2E7C" w:rsidRDefault="00355F46"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CF83772" w:rsidR="00092534" w:rsidRPr="00CF2E7C" w:rsidRDefault="00355F46"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597405AD" w:rsidR="00092534" w:rsidRPr="00CF2E7C" w:rsidRDefault="00355F46"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530AA207" w:rsidR="00092534" w:rsidRPr="00CF2E7C" w:rsidRDefault="00355F46"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59F6BAC3" w:rsidR="00092534" w:rsidRPr="00CF2E7C" w:rsidRDefault="00355F46"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6967AAF8" w:rsidR="00092534" w:rsidRPr="00CF2E7C" w:rsidRDefault="00355F46" w:rsidP="00CF2E7C">
            <w:pPr>
              <w:rPr>
                <w:rFonts w:ascii="Calibri" w:hAnsi="Calibri" w:cs="Calibri"/>
              </w:rPr>
            </w:pPr>
            <w:r>
              <w:rPr>
                <w:rFonts w:ascii="Calibri" w:hAnsi="Calibri" w:cs="Calibri"/>
              </w:rPr>
              <w:t>x</w:t>
            </w: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4916EE05" w:rsidR="00092534" w:rsidRPr="00CF2E7C" w:rsidRDefault="00355F46" w:rsidP="00CF2E7C">
            <w:pPr>
              <w:rPr>
                <w:rFonts w:ascii="Calibri" w:hAnsi="Calibri" w:cs="Calibri"/>
              </w:rPr>
            </w:pPr>
            <w:r>
              <w:rPr>
                <w:rFonts w:ascii="Calibri" w:hAnsi="Calibri" w:cs="Calibri"/>
              </w:rPr>
              <w:t>x</w:t>
            </w: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D339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FC996E" w:rsidR="00092534" w:rsidRPr="00CF2E7C" w:rsidRDefault="00EC46B6"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3AC98734"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1B4ED837" w:rsidR="00DB1E72" w:rsidRPr="00CF2E7C" w:rsidRDefault="00EC46B6"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6054ABD5" w:rsidR="00092534" w:rsidRPr="00CF2E7C" w:rsidRDefault="00EC46B6"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2B50F155" w:rsidR="00092534" w:rsidRPr="00CF2E7C" w:rsidRDefault="00EC46B6"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08320539" w:rsidR="00092534" w:rsidRPr="00CF2E7C" w:rsidRDefault="00EC46B6" w:rsidP="00CF2E7C">
            <w:pPr>
              <w:rPr>
                <w:rFonts w:ascii="Calibri" w:hAnsi="Calibri" w:cs="Calibri"/>
              </w:rPr>
            </w:pPr>
            <w:r>
              <w:rPr>
                <w:rFonts w:ascii="Calibri" w:hAnsi="Calibri" w:cs="Calibri"/>
              </w:rPr>
              <w:t>Given that the policy has just been finalized, it is expected that there have been no cases of enforcement. Moreso, the policy tool is largely voluntary in nature.</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01FF06CB" w:rsidR="00092534" w:rsidRPr="00CF2E7C" w:rsidRDefault="00EC46B6"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358FD806" w:rsidR="00D46B07" w:rsidRPr="00CF2E7C" w:rsidRDefault="00EC46B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2FB45E3B" w:rsidR="00D46B07" w:rsidRPr="00CF2E7C" w:rsidRDefault="00EC46B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6A5F3FCF" w:rsidR="00D46B07" w:rsidRPr="00CF2E7C" w:rsidRDefault="00EC46B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58493E6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C46B6">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0CECD0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C46B6">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74128C2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C46B6">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631FDC09" w:rsidR="00D46B07" w:rsidRPr="00CF2E7C" w:rsidRDefault="00EC46B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0697ABE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C46B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9B9EB3" w14:textId="45C81B48" w:rsidR="006B1015" w:rsidRPr="006B1015" w:rsidRDefault="00702413" w:rsidP="006B1015">
            <w:pPr>
              <w:textAlignment w:val="baseline"/>
              <w:rPr>
                <w:rFonts w:ascii="Calibri" w:eastAsia="Times New Roman" w:hAnsi="Calibri" w:cs="Calibri"/>
                <w:kern w:val="0"/>
                <w:lang w:val="en-NG" w:eastAsia="en-GB"/>
                <w14:ligatures w14:val="none"/>
              </w:rPr>
            </w:pPr>
            <w:r w:rsidRPr="00CF2E7C">
              <w:rPr>
                <w:rFonts w:ascii="Calibri" w:eastAsia="Times New Roman" w:hAnsi="Calibri" w:cs="Calibri"/>
                <w:kern w:val="0"/>
                <w:lang w:eastAsia="en-GB"/>
                <w14:ligatures w14:val="none"/>
              </w:rPr>
              <w:t> </w:t>
            </w:r>
            <w:r w:rsidR="006B1015">
              <w:rPr>
                <w:rFonts w:ascii="Calibri" w:eastAsia="Times New Roman" w:hAnsi="Calibri" w:cs="Calibri"/>
                <w:kern w:val="0"/>
                <w:lang w:eastAsia="en-GB"/>
                <w14:ligatures w14:val="none"/>
              </w:rPr>
              <w:t xml:space="preserve">The policy tool provides </w:t>
            </w:r>
            <w:r w:rsidR="00A726B7">
              <w:rPr>
                <w:rFonts w:ascii="Calibri" w:eastAsia="Times New Roman" w:hAnsi="Calibri" w:cs="Calibri"/>
                <w:kern w:val="0"/>
                <w:lang w:eastAsia="en-GB"/>
                <w14:ligatures w14:val="none"/>
              </w:rPr>
              <w:t>f</w:t>
            </w:r>
            <w:r w:rsidR="006B1015" w:rsidRPr="006B1015">
              <w:rPr>
                <w:rFonts w:ascii="Calibri" w:eastAsia="Times New Roman" w:hAnsi="Calibri" w:cs="Calibri"/>
                <w:kern w:val="0"/>
                <w:lang w:val="en-NG" w:eastAsia="en-GB"/>
                <w14:ligatures w14:val="none"/>
              </w:rPr>
              <w:t xml:space="preserve">or the establishment of a </w:t>
            </w:r>
            <w:r w:rsidR="006B1015" w:rsidRPr="00A726B7">
              <w:rPr>
                <w:rFonts w:ascii="Calibri" w:eastAsia="Times New Roman" w:hAnsi="Calibri" w:cs="Calibri"/>
                <w:kern w:val="0"/>
                <w:lang w:val="en-NG" w:eastAsia="en-GB"/>
                <w14:ligatures w14:val="none"/>
              </w:rPr>
              <w:t>national carbon registry</w:t>
            </w:r>
            <w:r w:rsidR="006B1015" w:rsidRPr="006B1015">
              <w:rPr>
                <w:rFonts w:ascii="Calibri" w:eastAsia="Times New Roman" w:hAnsi="Calibri" w:cs="Calibri"/>
                <w:kern w:val="0"/>
                <w:lang w:val="en-NG" w:eastAsia="en-GB"/>
                <w14:ligatures w14:val="none"/>
              </w:rPr>
              <w:t xml:space="preserve"> to serve as a centralized platform for tracking and managing carbon market activities across both voluntary and compliance markets. The registry will be managed by the National Carbon Office and is expected to enhance transparency, build investor confidence, and support the integrity of Nigeria’s carbon market. It will provide real-time information on carbon credit projects, including credit issuance, trading, availability, and retirements.</w:t>
            </w:r>
          </w:p>
          <w:p w14:paraId="59241916" w14:textId="53010536" w:rsidR="006B1015" w:rsidRPr="006B1015" w:rsidRDefault="006B1015" w:rsidP="006B1015">
            <w:pPr>
              <w:textAlignment w:val="baseline"/>
              <w:rPr>
                <w:rFonts w:ascii="Calibri" w:eastAsia="Times New Roman" w:hAnsi="Calibri" w:cs="Calibri"/>
                <w:kern w:val="0"/>
                <w:lang w:val="en-NG" w:eastAsia="en-GB"/>
                <w14:ligatures w14:val="none"/>
              </w:rPr>
            </w:pPr>
            <w:r w:rsidRPr="006B1015">
              <w:rPr>
                <w:rFonts w:ascii="Calibri" w:eastAsia="Times New Roman" w:hAnsi="Calibri" w:cs="Calibri"/>
                <w:kern w:val="0"/>
                <w:lang w:val="en-NG" w:eastAsia="en-GB"/>
                <w14:ligatures w14:val="none"/>
              </w:rPr>
              <w:t xml:space="preserve">The registry is also expected to be interoperable with international systems and aligned with recognized standards and protocols to facilitate cross-border transactions. Importantly, it will include mechanisms to prevent double counting and ensure credible tracking of mitigation </w:t>
            </w:r>
            <w:r w:rsidRPr="006B1015">
              <w:rPr>
                <w:rFonts w:ascii="Calibri" w:eastAsia="Times New Roman" w:hAnsi="Calibri" w:cs="Calibri"/>
                <w:kern w:val="0"/>
                <w:lang w:val="en-NG" w:eastAsia="en-GB"/>
                <w14:ligatures w14:val="none"/>
              </w:rPr>
              <w:lastRenderedPageBreak/>
              <w:t>outcomes. While the policy clearly outlines the intent to establish this registry, it does not yet provide a web link, as the document is still in draft form</w:t>
            </w:r>
            <w:r>
              <w:rPr>
                <w:rFonts w:ascii="Calibri" w:eastAsia="Times New Roman" w:hAnsi="Calibri" w:cs="Calibri"/>
                <w:kern w:val="0"/>
                <w:lang w:val="en-NG" w:eastAsia="en-GB"/>
                <w14:ligatures w14:val="none"/>
              </w:rPr>
              <w:t>.</w:t>
            </w:r>
          </w:p>
          <w:p w14:paraId="38C2165D" w14:textId="58E33596"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6931DDBA" w:rsidR="00343937" w:rsidRPr="00CF2E7C" w:rsidRDefault="006B101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3914251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B101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54E02BF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B101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370279B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B1015">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5035D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B101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1D28094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B1015">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2D658C" w14:textId="72F78D5B" w:rsidR="006B1015" w:rsidRPr="006B1015" w:rsidRDefault="006B1015" w:rsidP="006B1015">
            <w:pPr>
              <w:textAlignment w:val="baseline"/>
              <w:rPr>
                <w:rFonts w:ascii="Calibri" w:eastAsia="Times New Roman" w:hAnsi="Calibri" w:cs="Calibri"/>
                <w:kern w:val="0"/>
                <w:lang w:val="en-NG" w:eastAsia="en-GB"/>
                <w14:ligatures w14:val="none"/>
              </w:rPr>
            </w:pPr>
            <w:r>
              <w:rPr>
                <w:rFonts w:ascii="Calibri" w:eastAsia="Times New Roman" w:hAnsi="Calibri" w:cs="Calibri"/>
                <w:kern w:val="0"/>
                <w:lang w:val="en-NG" w:eastAsia="en-GB"/>
                <w14:ligatures w14:val="none"/>
              </w:rPr>
              <w:t>The policy tool provides that N</w:t>
            </w:r>
            <w:r w:rsidRPr="006B1015">
              <w:rPr>
                <w:rFonts w:ascii="Calibri" w:eastAsia="Times New Roman" w:hAnsi="Calibri" w:cs="Calibri"/>
                <w:kern w:val="0"/>
                <w:lang w:val="en-NG" w:eastAsia="en-GB"/>
                <w14:ligatures w14:val="none"/>
              </w:rPr>
              <w:t xml:space="preserve">igeria commits to applying a robust accounting architecture, including the use of corresponding adjustments, to ensure mitigation outcomes are not counted both by Nigeria and a buyer country. This commitment is articulated in the Article 6 </w:t>
            </w:r>
            <w:r w:rsidRPr="006B1015">
              <w:rPr>
                <w:rFonts w:ascii="Calibri" w:eastAsia="Times New Roman" w:hAnsi="Calibri" w:cs="Calibri"/>
                <w:kern w:val="0"/>
                <w:lang w:val="en-NG" w:eastAsia="en-GB"/>
                <w14:ligatures w14:val="none"/>
              </w:rPr>
              <w:lastRenderedPageBreak/>
              <w:t>section, where it states that Nigeria “will apply a robust accounting architecture to forestall incidences of double counting in line with the requirements of the Paris Agreement”</w:t>
            </w:r>
          </w:p>
          <w:p w14:paraId="7E5656C2" w14:textId="6AEFE61B" w:rsidR="00343937" w:rsidRDefault="006B1015" w:rsidP="006B1015">
            <w:pPr>
              <w:textAlignment w:val="baseline"/>
              <w:rPr>
                <w:rFonts w:ascii="Calibri" w:eastAsia="Times New Roman" w:hAnsi="Calibri" w:cs="Calibri"/>
                <w:kern w:val="0"/>
                <w:lang w:val="en-NG" w:eastAsia="en-GB"/>
                <w14:ligatures w14:val="none"/>
              </w:rPr>
            </w:pPr>
            <w:r w:rsidRPr="006B1015">
              <w:rPr>
                <w:rFonts w:ascii="Calibri" w:eastAsia="Times New Roman" w:hAnsi="Calibri" w:cs="Calibri"/>
                <w:kern w:val="0"/>
                <w:lang w:val="en-NG" w:eastAsia="en-GB"/>
                <w14:ligatures w14:val="none"/>
              </w:rPr>
              <w:t>In the VCM section, the policy reinforces this commitment by stating that Nigeria will consider authorizing and correspondingly adjusting VCM credits “if the projects meet the requirements and eligibility criteria for authorization.” These requirements align with those for Article 6.2 activities and will be detailed further in Nigeria’s Manual of Procedures. The national carbon regist</w:t>
            </w:r>
            <w:r w:rsidRPr="006B1015">
              <w:rPr>
                <w:rFonts w:ascii="Calibri" w:eastAsia="Times New Roman" w:hAnsi="Calibri" w:cs="Calibri"/>
                <w:b/>
                <w:bCs/>
                <w:kern w:val="0"/>
                <w:lang w:val="en-NG" w:eastAsia="en-GB"/>
                <w14:ligatures w14:val="none"/>
              </w:rPr>
              <w:t>ry</w:t>
            </w:r>
            <w:r w:rsidR="00A726B7">
              <w:rPr>
                <w:rFonts w:ascii="Calibri" w:eastAsia="Times New Roman" w:hAnsi="Calibri" w:cs="Calibri"/>
                <w:b/>
                <w:bCs/>
                <w:kern w:val="0"/>
                <w:lang w:val="en-NG" w:eastAsia="en-GB"/>
                <w14:ligatures w14:val="none"/>
              </w:rPr>
              <w:t xml:space="preserve"> </w:t>
            </w:r>
            <w:r w:rsidRPr="006B1015">
              <w:rPr>
                <w:rFonts w:ascii="Calibri" w:eastAsia="Times New Roman" w:hAnsi="Calibri" w:cs="Calibri"/>
                <w:kern w:val="0"/>
                <w:lang w:val="en-NG" w:eastAsia="en-GB"/>
                <w14:ligatures w14:val="none"/>
              </w:rPr>
              <w:t>will also include mechanisms to prevent double counting by tracking issuance, transfers, and retirements in real time. This ensures traceability and integrity across the carbon market value chain.</w:t>
            </w:r>
          </w:p>
          <w:p w14:paraId="4878BF58" w14:textId="051DAA4E" w:rsidR="006B1015" w:rsidRPr="00CF2E7C" w:rsidRDefault="006B1015" w:rsidP="006B101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Pages 11, 29, 33 and 40</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58B95A3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B101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59C61D4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B1015">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205D58C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B101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B01942" w14:textId="77777777" w:rsidR="00343937" w:rsidRDefault="00CA671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highlights that revenues from carbon markets will also be used for the following:</w:t>
            </w:r>
          </w:p>
          <w:p w14:paraId="73B87E70" w14:textId="77777777" w:rsidR="00CA6716" w:rsidRDefault="00CA6716" w:rsidP="00CA6716">
            <w:pPr>
              <w:pStyle w:val="ListParagraph"/>
              <w:numPr>
                <w:ilvl w:val="0"/>
                <w:numId w:val="50"/>
              </w:numPr>
              <w:textAlignment w:val="baseline"/>
              <w:rPr>
                <w:rFonts w:ascii="Calibri" w:eastAsia="Times New Roman" w:hAnsi="Calibri" w:cs="Calibri"/>
                <w:kern w:val="0"/>
                <w:lang w:eastAsia="en-GB"/>
                <w14:ligatures w14:val="none"/>
              </w:rPr>
            </w:pPr>
            <w:r w:rsidRPr="00CA6716">
              <w:rPr>
                <w:rFonts w:ascii="Calibri" w:eastAsia="Times New Roman" w:hAnsi="Calibri" w:cs="Calibri"/>
                <w:kern w:val="0"/>
                <w:lang w:eastAsia="en-GB"/>
                <w14:ligatures w14:val="none"/>
              </w:rPr>
              <w:t xml:space="preserve">Funding innovative climate change mitigation and adaptation projects that further support Nigeria's NDC obligations </w:t>
            </w:r>
          </w:p>
          <w:p w14:paraId="3802F3A8" w14:textId="77777777" w:rsidR="00CA6716" w:rsidRDefault="00CA6716" w:rsidP="00CA6716">
            <w:pPr>
              <w:pStyle w:val="ListParagraph"/>
              <w:numPr>
                <w:ilvl w:val="0"/>
                <w:numId w:val="50"/>
              </w:numPr>
              <w:textAlignment w:val="baseline"/>
              <w:rPr>
                <w:rFonts w:ascii="Calibri" w:eastAsia="Times New Roman" w:hAnsi="Calibri" w:cs="Calibri"/>
                <w:kern w:val="0"/>
                <w:lang w:eastAsia="en-GB"/>
                <w14:ligatures w14:val="none"/>
              </w:rPr>
            </w:pPr>
            <w:r w:rsidRPr="00CA6716">
              <w:rPr>
                <w:rFonts w:ascii="Calibri" w:eastAsia="Times New Roman" w:hAnsi="Calibri" w:cs="Calibri"/>
                <w:kern w:val="0"/>
                <w:lang w:eastAsia="en-GB"/>
                <w14:ligatures w14:val="none"/>
              </w:rPr>
              <w:t xml:space="preserve">Supporting climate change advocacy and information dissemination </w:t>
            </w:r>
          </w:p>
          <w:p w14:paraId="4BBD8293" w14:textId="77777777" w:rsidR="00CA6716" w:rsidRDefault="00CA6716" w:rsidP="00CA6716">
            <w:pPr>
              <w:pStyle w:val="ListParagraph"/>
              <w:numPr>
                <w:ilvl w:val="0"/>
                <w:numId w:val="50"/>
              </w:numPr>
              <w:textAlignment w:val="baseline"/>
              <w:rPr>
                <w:rFonts w:ascii="Calibri" w:eastAsia="Times New Roman" w:hAnsi="Calibri" w:cs="Calibri"/>
                <w:kern w:val="0"/>
                <w:lang w:eastAsia="en-GB"/>
                <w14:ligatures w14:val="none"/>
              </w:rPr>
            </w:pPr>
            <w:r w:rsidRPr="00CA6716">
              <w:rPr>
                <w:rFonts w:ascii="Calibri" w:eastAsia="Times New Roman" w:hAnsi="Calibri" w:cs="Calibri"/>
                <w:kern w:val="0"/>
                <w:lang w:eastAsia="en-GB"/>
                <w14:ligatures w14:val="none"/>
              </w:rPr>
              <w:t>Conducting an assessment of the impact of climate change on vulnerable communities and populations</w:t>
            </w:r>
          </w:p>
          <w:p w14:paraId="40CFF5A4" w14:textId="6E89761D" w:rsidR="00CA6716" w:rsidRPr="00CA6716" w:rsidRDefault="00CA6716" w:rsidP="00CA6716">
            <w:pPr>
              <w:pStyle w:val="ListParagraph"/>
              <w:numPr>
                <w:ilvl w:val="0"/>
                <w:numId w:val="50"/>
              </w:numPr>
              <w:textAlignment w:val="baseline"/>
              <w:rPr>
                <w:rFonts w:ascii="Calibri" w:eastAsia="Times New Roman" w:hAnsi="Calibri" w:cs="Calibri"/>
                <w:kern w:val="0"/>
                <w:lang w:eastAsia="en-GB"/>
                <w14:ligatures w14:val="none"/>
              </w:rPr>
            </w:pPr>
            <w:r w:rsidRPr="00CA6716">
              <w:rPr>
                <w:rFonts w:ascii="Calibri" w:eastAsia="Times New Roman" w:hAnsi="Calibri" w:cs="Calibri"/>
                <w:kern w:val="0"/>
                <w:lang w:eastAsia="en-GB"/>
                <w14:ligatures w14:val="none"/>
              </w:rPr>
              <w:t>Incentivizing private and public entities for their efforts towards transiting to clean energy and enhancing their GHG emission reductio</w:t>
            </w:r>
            <w:r>
              <w:rPr>
                <w:rFonts w:ascii="Calibri" w:eastAsia="Times New Roman" w:hAnsi="Calibri" w:cs="Calibri"/>
                <w:kern w:val="0"/>
                <w:lang w:eastAsia="en-GB"/>
                <w14:ligatures w14:val="none"/>
              </w:rPr>
              <w:t>n (page 37)</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14A3B861"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A6716">
              <w:rPr>
                <w:rFonts w:ascii="Calibri" w:eastAsia="Times New Roman" w:hAnsi="Calibri" w:cs="Calibri"/>
                <w:kern w:val="0"/>
                <w:lang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423C00A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12F31DA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A6716">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13C669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A6716">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3DC8B81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A6716">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584C587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A6716">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03EA0FC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A6716">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456C945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A6716">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182E2C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A6716">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4542059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A6716">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10DC647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A6716">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0769F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A6716">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43AD9335" w:rsidR="00047A9C" w:rsidRPr="00CF2E7C" w:rsidRDefault="00047A9C" w:rsidP="00BE09D7">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502A8">
              <w:rPr>
                <w:rFonts w:ascii="Calibri" w:eastAsia="Times New Roman" w:hAnsi="Calibri" w:cs="Calibri"/>
                <w:kern w:val="0"/>
                <w:lang w:eastAsia="en-GB"/>
                <w14:ligatures w14:val="none"/>
              </w:rPr>
              <w:t xml:space="preserve">The policy requires that </w:t>
            </w:r>
            <w:r w:rsidR="00BE09D7" w:rsidRPr="00BE09D7">
              <w:rPr>
                <w:rFonts w:ascii="Calibri" w:eastAsia="Times New Roman" w:hAnsi="Calibri" w:cs="Calibri"/>
                <w:kern w:val="0"/>
                <w:lang w:eastAsia="en-GB"/>
                <w14:ligatures w14:val="none"/>
              </w:rPr>
              <w:t>all carbon credit projects undergo independent third-party</w:t>
            </w:r>
            <w:r w:rsidR="00BE09D7" w:rsidRPr="00BE09D7">
              <w:rPr>
                <w:rFonts w:ascii="Calibri" w:eastAsia="Times New Roman" w:hAnsi="Calibri" w:cs="Calibri"/>
                <w:b/>
                <w:bCs/>
                <w:kern w:val="0"/>
                <w:lang w:eastAsia="en-GB"/>
                <w14:ligatures w14:val="none"/>
              </w:rPr>
              <w:t xml:space="preserve"> </w:t>
            </w:r>
            <w:r w:rsidR="00BE09D7" w:rsidRPr="00BE09D7">
              <w:rPr>
                <w:rFonts w:ascii="Calibri" w:eastAsia="Times New Roman" w:hAnsi="Calibri" w:cs="Calibri"/>
                <w:kern w:val="0"/>
                <w:lang w:eastAsia="en-GB"/>
                <w14:ligatures w14:val="none"/>
              </w:rPr>
              <w:t>certification by qualified Validation and Verification Bodies (VVBs) to ensure compliance with both the policy’s criteria and recognized international carbon standards. These VVBs are responsible for validating project design and verifying emission reductions or removals. The policy also mandates that entities participating in the compliance carbon pricing scheme submit third-party verified GHG emission reports to ensure the accuracy and reliability of emissions data.</w:t>
            </w:r>
            <w:r w:rsidR="00BE09D7">
              <w:rPr>
                <w:rFonts w:ascii="Calibri" w:eastAsia="Times New Roman" w:hAnsi="Calibri" w:cs="Calibri"/>
                <w:kern w:val="0"/>
                <w:lang w:eastAsia="en-GB"/>
                <w14:ligatures w14:val="none"/>
              </w:rPr>
              <w:t xml:space="preserve"> Pages 33 and 36</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3682CF5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E09D7">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1506875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E09D7">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3C188D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E09D7">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A5579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E09D7">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1670A4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E09D7">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15480D2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E09D7">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0620040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E09D7">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5EB5F90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E09D7">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6D11C1AE" w:rsidR="00047A9C" w:rsidRPr="00CF2E7C" w:rsidRDefault="00047A9C" w:rsidP="00A726B7">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E09D7">
              <w:rPr>
                <w:rFonts w:ascii="Calibri" w:eastAsia="Times New Roman" w:hAnsi="Calibri" w:cs="Calibri"/>
                <w:kern w:val="0"/>
                <w:lang w:eastAsia="en-GB"/>
                <w14:ligatures w14:val="none"/>
              </w:rPr>
              <w:t xml:space="preserve">The policy tool </w:t>
            </w:r>
            <w:r w:rsidR="00BE09D7" w:rsidRPr="00BE09D7">
              <w:rPr>
                <w:rFonts w:ascii="Calibri" w:eastAsia="Times New Roman" w:hAnsi="Calibri" w:cs="Calibri"/>
                <w:kern w:val="0"/>
                <w:lang w:eastAsia="en-GB"/>
                <w14:ligatures w14:val="none"/>
              </w:rPr>
              <w:t>requires that mitigation outcomes be permanent but does not specify a minimum number of years for which avoided or removed emissions must remain sequestered. However, the policy does not provide further guidance on how permanence should be ensured</w:t>
            </w:r>
            <w:r w:rsidR="00A726B7">
              <w:rPr>
                <w:rFonts w:ascii="Calibri" w:eastAsia="Times New Roman" w:hAnsi="Calibri" w:cs="Calibri"/>
                <w:kern w:val="0"/>
                <w:lang w:eastAsia="en-GB"/>
                <w14:ligatures w14:val="none"/>
              </w:rPr>
              <w:t xml:space="preserve"> </w:t>
            </w:r>
            <w:r w:rsidR="00BE09D7" w:rsidRPr="00BE09D7">
              <w:rPr>
                <w:rFonts w:ascii="Calibri" w:eastAsia="Times New Roman" w:hAnsi="Calibri" w:cs="Calibri"/>
                <w:kern w:val="0"/>
                <w:lang w:eastAsia="en-GB"/>
                <w14:ligatures w14:val="none"/>
              </w:rPr>
              <w:t>such as through duration thresholds, reversal risk measures, or monitoring mechanisms—leaving such details to be developed in subsequent instruments like the Manual of Procedures (page 13).</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54EB858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57BB6">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6A6F067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57BB6">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66F4B5B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57BB6">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3EAF524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57BB6">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7F7B08D1" w:rsidR="00DD694D" w:rsidRPr="00CF2E7C" w:rsidRDefault="00857BB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CB63325" w14:textId="6BCEB8DA" w:rsidR="00DD694D" w:rsidRDefault="00857BB6" w:rsidP="00CF2E7C">
            <w:pPr>
              <w:textAlignment w:val="baseline"/>
              <w:rPr>
                <w:rFonts w:ascii="Calibri" w:eastAsia="Times New Roman" w:hAnsi="Calibri" w:cs="Calibri"/>
                <w:kern w:val="0"/>
                <w:lang w:eastAsia="en-GB"/>
                <w14:ligatures w14:val="none"/>
              </w:rPr>
            </w:pPr>
            <w:r w:rsidRPr="00857BB6">
              <w:rPr>
                <w:rFonts w:ascii="Calibri" w:eastAsia="Times New Roman" w:hAnsi="Calibri" w:cs="Calibri"/>
                <w:kern w:val="0"/>
                <w:lang w:eastAsia="en-GB"/>
                <w14:ligatures w14:val="none"/>
              </w:rPr>
              <w:t>The policy outlines general provisions requiring the quantification of emission reductions or removals from carbon credit-generating projects to be carried out using stringent standards and methodologies that ensure environmental integrity. Specificall</w:t>
            </w:r>
            <w:r w:rsidR="00A726B7">
              <w:rPr>
                <w:rFonts w:ascii="Calibri" w:eastAsia="Times New Roman" w:hAnsi="Calibri" w:cs="Calibri"/>
                <w:kern w:val="0"/>
                <w:lang w:eastAsia="en-GB"/>
                <w14:ligatures w14:val="none"/>
              </w:rPr>
              <w:t>y,</w:t>
            </w:r>
            <w:r w:rsidRPr="00857BB6">
              <w:rPr>
                <w:rFonts w:ascii="Calibri" w:eastAsia="Times New Roman" w:hAnsi="Calibri" w:cs="Calibri"/>
                <w:kern w:val="0"/>
                <w:lang w:eastAsia="en-GB"/>
                <w14:ligatures w14:val="none"/>
              </w:rPr>
              <w:t xml:space="preserve"> it states that developers must adopt rigorous quantification, monitoring, reporting and verification (MRV</w:t>
            </w:r>
            <w:r w:rsidRPr="00857BB6">
              <w:rPr>
                <w:rFonts w:ascii="Calibri" w:eastAsia="Times New Roman" w:hAnsi="Calibri" w:cs="Calibri"/>
                <w:b/>
                <w:bCs/>
                <w:kern w:val="0"/>
                <w:lang w:eastAsia="en-GB"/>
                <w14:ligatures w14:val="none"/>
              </w:rPr>
              <w:t>)</w:t>
            </w:r>
            <w:r w:rsidRPr="00857BB6">
              <w:rPr>
                <w:rFonts w:ascii="Calibri" w:eastAsia="Times New Roman" w:hAnsi="Calibri" w:cs="Calibri"/>
                <w:kern w:val="0"/>
                <w:lang w:eastAsia="en-GB"/>
                <w14:ligatures w14:val="none"/>
              </w:rPr>
              <w:t xml:space="preserve"> procedures, although it does not detail the methodologies or technical benchmarks to be applied. Additionally, the policy notes that a Manual of Procedures will be developed to provide further guidance on project registration, MRV, issuance, and authorization</w:t>
            </w:r>
            <w:r>
              <w:rPr>
                <w:rFonts w:ascii="Calibri" w:eastAsia="Times New Roman" w:hAnsi="Calibri" w:cs="Calibri"/>
                <w:kern w:val="0"/>
                <w:lang w:eastAsia="en-GB"/>
                <w14:ligatures w14:val="none"/>
              </w:rPr>
              <w:t>.</w:t>
            </w:r>
            <w:r w:rsidRPr="00857BB6">
              <w:rPr>
                <w:rFonts w:ascii="Calibri" w:eastAsia="Times New Roman" w:hAnsi="Calibri" w:cs="Calibri"/>
                <w:kern w:val="0"/>
                <w:lang w:eastAsia="en-GB"/>
                <w14:ligatures w14:val="none"/>
              </w:rPr>
              <w:t xml:space="preserve"> This indicates that while the policy mandates robust quantification, the technical details will be addressed in future regulatory instruments.</w:t>
            </w:r>
          </w:p>
          <w:p w14:paraId="4073F913" w14:textId="45B25A94" w:rsidR="00857BB6" w:rsidRPr="00CF2E7C" w:rsidRDefault="00857BB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Page 13 and 33</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58072D2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57BB6">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265BE3F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57BB6">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2E4580C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57BB6">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3B6A2A6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57BB6">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2E9C8F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57BB6">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C5658BF" w:rsidR="00DD694D" w:rsidRPr="00CF2E7C" w:rsidRDefault="00857BB6" w:rsidP="00857BB6">
            <w:pPr>
              <w:jc w:val="both"/>
              <w:textAlignment w:val="baseline"/>
              <w:rPr>
                <w:rFonts w:ascii="Calibri" w:eastAsia="Times New Roman" w:hAnsi="Calibri" w:cs="Calibri"/>
                <w:kern w:val="0"/>
                <w:lang w:eastAsia="en-GB"/>
                <w14:ligatures w14:val="none"/>
              </w:rPr>
            </w:pPr>
            <w:r w:rsidRPr="00857BB6">
              <w:rPr>
                <w:rFonts w:ascii="Calibri" w:eastAsia="Times New Roman" w:hAnsi="Calibri" w:cs="Calibri"/>
                <w:kern w:val="0"/>
                <w:lang w:eastAsia="en-GB"/>
                <w14:ligatures w14:val="none"/>
              </w:rPr>
              <w:t xml:space="preserve">The policy includes strong safeguards to ensure the social integrity of carbon credits. It mandates Free, Prior and Informed Consent (FPIC) for land-based projects involving indigenous and local communities and requires the establishment of rules and procedures to allow affected communities to appeal decisions and seek remedies, including compensatory damages and restitution. The policy also promotes inclusive participation and the equitable distribution of benefits from carbon market activities, emphasizing the generation of climate, economic, and social co-benefits such as job creation, empowerment of vulnerable groups, and alignment with Sustainable Development Goals (SDGs), </w:t>
            </w:r>
            <w:r w:rsidRPr="00857BB6">
              <w:rPr>
                <w:rFonts w:ascii="Calibri" w:eastAsia="Times New Roman" w:hAnsi="Calibri" w:cs="Calibri"/>
                <w:i/>
                <w:iCs/>
                <w:kern w:val="0"/>
                <w:lang w:eastAsia="en-GB"/>
                <w14:ligatures w14:val="none"/>
              </w:rPr>
              <w:t>Executive Summary</w:t>
            </w:r>
            <w:r w:rsidRPr="00857BB6">
              <w:rPr>
                <w:rFonts w:ascii="Calibri" w:eastAsia="Times New Roman" w:hAnsi="Calibri" w:cs="Calibri"/>
                <w:kern w:val="0"/>
                <w:lang w:eastAsia="en-GB"/>
                <w14:ligatures w14:val="none"/>
              </w:rPr>
              <w:t xml:space="preserve"> and </w:t>
            </w:r>
            <w:r w:rsidRPr="00857BB6">
              <w:rPr>
                <w:rFonts w:ascii="Calibri" w:eastAsia="Times New Roman" w:hAnsi="Calibri" w:cs="Calibri"/>
                <w:i/>
                <w:iCs/>
                <w:kern w:val="0"/>
                <w:lang w:eastAsia="en-GB"/>
                <w14:ligatures w14:val="none"/>
              </w:rPr>
              <w:t>Carbon Market Principles</w:t>
            </w:r>
            <w:r w:rsidRPr="00857BB6">
              <w:rPr>
                <w:rFonts w:ascii="Calibri" w:eastAsia="Times New Roman" w:hAnsi="Calibri" w:cs="Calibri"/>
                <w:kern w:val="0"/>
                <w:lang w:eastAsia="en-GB"/>
                <w14:ligatures w14:val="none"/>
              </w:rPr>
              <w:t>). These provisions confirm that social integrity is a required principle, embedded in the policy's framework and implementation. Pages</w:t>
            </w:r>
            <w:r>
              <w:rPr>
                <w:rFonts w:ascii="Calibri" w:eastAsia="Times New Roman" w:hAnsi="Calibri" w:cs="Calibri"/>
                <w:kern w:val="0"/>
                <w:lang w:eastAsia="en-GB"/>
                <w14:ligatures w14:val="none"/>
              </w:rPr>
              <w:t xml:space="preserve"> 10,12,40</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0921814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6568995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57BB6">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189F4A8B" w:rsidR="002119B6" w:rsidRPr="00CF2E7C" w:rsidRDefault="006F1A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31FB774F" w:rsidR="002119B6" w:rsidRPr="00CF2E7C" w:rsidRDefault="006F1A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45CEA071" w:rsidR="002119B6" w:rsidRPr="006F1AC8" w:rsidRDefault="006F1AC8" w:rsidP="00CF2E7C">
            <w:pPr>
              <w:textAlignment w:val="baseline"/>
              <w:rPr>
                <w:rFonts w:ascii="Calibri" w:eastAsia="Times New Roman" w:hAnsi="Calibri" w:cs="Calibri"/>
                <w:kern w:val="0"/>
                <w:lang w:eastAsia="en-GB"/>
                <w14:ligatures w14:val="none"/>
              </w:rPr>
            </w:pPr>
            <w:r w:rsidRPr="006F1AC8">
              <w:rPr>
                <w:rFonts w:ascii="Calibri" w:eastAsia="Times New Roman" w:hAnsi="Calibri" w:cs="Calibri"/>
                <w:kern w:val="0"/>
                <w:lang w:eastAsia="en-GB"/>
                <w14:ligatures w14:val="none"/>
              </w:rPr>
              <w:t>Carbon credits permitted for use in Nigeria’s compliance market must be real, measurable, verifiable, additional, and permanent, and must not be double counted or claimed under any other mechanism. These criteria apply to both domestic and international credits. Credits must also comply with monitoring, reporting, and verification (MRV) requirements and the eligibility criteria set out in the forthcoming Manual of Procedures- pages 29, 36 and 13</w:t>
            </w: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22EDEB67" w:rsidR="00FE7FA5" w:rsidRPr="00CF2E7C" w:rsidRDefault="006F1A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1E7F6461" w:rsidR="00FE7FA5" w:rsidRPr="006F1AC8" w:rsidRDefault="006F1AC8" w:rsidP="006F1AC8">
            <w:pPr>
              <w:jc w:val="both"/>
              <w:textAlignment w:val="baseline"/>
              <w:rPr>
                <w:rFonts w:ascii="Calibri" w:eastAsia="Times New Roman" w:hAnsi="Calibri" w:cs="Calibri"/>
                <w:kern w:val="0"/>
                <w:lang w:eastAsia="en-GB"/>
                <w14:ligatures w14:val="none"/>
              </w:rPr>
            </w:pPr>
            <w:r w:rsidRPr="006F1AC8">
              <w:rPr>
                <w:rFonts w:ascii="Calibri" w:eastAsia="Times New Roman" w:hAnsi="Calibri" w:cs="Calibri"/>
                <w:kern w:val="0"/>
                <w:lang w:eastAsia="en-GB"/>
                <w14:ligatures w14:val="none"/>
              </w:rPr>
              <w:t>The policy requires that credits used in the voluntary carbon market be real, measurable, verifiable, additional, and permanent, and not subject to double counting. Projects must adopt stringent MRV standards and methodologies, and credits must comply with the rules of recognized international carbon standards and with the criteria set out in Nigeria’s forthcoming Manual of Procedures.</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5F5D6A7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1AC8">
              <w:rPr>
                <w:rFonts w:ascii="Calibri" w:eastAsia="Times New Roman" w:hAnsi="Calibri" w:cs="Calibri"/>
                <w:kern w:val="0"/>
                <w:lang w:eastAsia="en-GB"/>
                <w14:ligatures w14:val="none"/>
              </w:rPr>
              <w:t>x</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12298EF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1AC8">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1DCA834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1AC8">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D1AA35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1AC8">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01F9201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1AC8">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4D4FEF8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1AC8">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0EA53F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1AC8">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49239D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1AC8">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397EC8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4FD5123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1AC8">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61862CF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1AC8">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3C27E4E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1AC8">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378DE6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1AC8">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7EF8A586" w:rsidR="00FE7FA5" w:rsidRPr="009C4D10" w:rsidRDefault="006F1AC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5B3DE8BD" w:rsidR="00FE7FA5" w:rsidRPr="009C4D10" w:rsidRDefault="006F1AC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0C3EA3" w14:textId="77777777" w:rsidR="00FE7FA5" w:rsidRDefault="006F1AC8" w:rsidP="00CF2E7C">
            <w:pPr>
              <w:textAlignment w:val="baseline"/>
              <w:rPr>
                <w:rFonts w:eastAsia="Times New Roman" w:cstheme="minorHAnsi"/>
                <w:kern w:val="0"/>
                <w:lang w:eastAsia="en-GB"/>
                <w14:ligatures w14:val="none"/>
              </w:rPr>
            </w:pPr>
            <w:r w:rsidRPr="006F1AC8">
              <w:rPr>
                <w:rFonts w:eastAsia="Times New Roman" w:cstheme="minorHAnsi"/>
                <w:kern w:val="0"/>
                <w:lang w:eastAsia="en-GB"/>
                <w14:ligatures w14:val="none"/>
              </w:rPr>
              <w:t>The policy outlines Nigeria’s strategy for engaging in bilateral and multilateral carbon trading arrangements under Article 6.2. It emphasizes the use of corresponding adjustments and the establishment of national systems to support this engagement</w:t>
            </w:r>
            <w:r>
              <w:rPr>
                <w:rFonts w:eastAsia="Times New Roman" w:cstheme="minorHAnsi"/>
                <w:kern w:val="0"/>
                <w:lang w:eastAsia="en-GB"/>
                <w14:ligatures w14:val="none"/>
              </w:rPr>
              <w:t>- page 28</w:t>
            </w:r>
          </w:p>
          <w:p w14:paraId="08F9B0DF" w14:textId="1557BD8B" w:rsidR="006F1AC8" w:rsidRPr="009C4D10" w:rsidRDefault="006F1AC8" w:rsidP="00CF2E7C">
            <w:pPr>
              <w:textAlignment w:val="baseline"/>
              <w:rPr>
                <w:rFonts w:eastAsia="Times New Roman" w:cstheme="minorHAnsi"/>
                <w:kern w:val="0"/>
                <w:lang w:eastAsia="en-GB"/>
                <w14:ligatures w14:val="none"/>
              </w:rPr>
            </w:pPr>
            <w:r w:rsidRPr="006F1AC8">
              <w:rPr>
                <w:rFonts w:eastAsia="Times New Roman" w:cstheme="minorHAnsi"/>
                <w:kern w:val="0"/>
                <w:lang w:eastAsia="en-GB"/>
                <w14:ligatures w14:val="none"/>
              </w:rPr>
              <w:t>The policy also states Nigeria’s intent to participate in the Article 6.4 mechanism once operationalized by the UNFCCC</w:t>
            </w:r>
            <w:r>
              <w:rPr>
                <w:rFonts w:eastAsia="Times New Roman" w:cstheme="minorHAnsi"/>
                <w:kern w:val="0"/>
                <w:lang w:eastAsia="en-GB"/>
                <w14:ligatures w14:val="none"/>
              </w:rPr>
              <w:t>- page 30</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40D0EA23" w:rsidR="00392F82" w:rsidRPr="009C4D10" w:rsidRDefault="006F1AC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20E8AC0F" w:rsidR="00392F82" w:rsidRPr="009C4D10" w:rsidRDefault="006F1AC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191D7FC9"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r w:rsidR="006F1AC8">
              <w:rPr>
                <w:rFonts w:eastAsia="Times New Roman" w:cstheme="minorHAnsi"/>
                <w:kern w:val="0"/>
                <w:lang w:eastAsia="en-GB"/>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1BB8CA1A" w:rsidR="00392F82" w:rsidRPr="009C4D10" w:rsidRDefault="006F1AC8" w:rsidP="00CF2E7C">
            <w:pPr>
              <w:textAlignment w:val="baseline"/>
              <w:rPr>
                <w:rFonts w:eastAsia="Times New Roman" w:cstheme="minorHAnsi"/>
                <w:kern w:val="0"/>
                <w:lang w:eastAsia="en-GB"/>
                <w14:ligatures w14:val="none"/>
              </w:rPr>
            </w:pPr>
            <w:r w:rsidRPr="006F1AC8">
              <w:rPr>
                <w:rFonts w:eastAsia="Times New Roman" w:cstheme="minorHAnsi"/>
                <w:kern w:val="0"/>
                <w:lang w:eastAsia="en-GB"/>
                <w14:ligatures w14:val="none"/>
              </w:rPr>
              <w:t xml:space="preserve">The policy establishes a regulated carbon exchange for </w:t>
            </w:r>
            <w:r w:rsidRPr="00093247">
              <w:rPr>
                <w:rFonts w:eastAsia="Times New Roman" w:cstheme="minorHAnsi"/>
                <w:kern w:val="0"/>
                <w:lang w:eastAsia="en-GB"/>
                <w14:ligatures w14:val="none"/>
              </w:rPr>
              <w:t>trading voluntary, compliance, and international credits, treats carbon credits as valuable economic instruments, and mandates a forthcoming Manual of Procedures to govern trading rules</w:t>
            </w:r>
            <w:r w:rsidRPr="00093247">
              <w:rPr>
                <w:rFonts w:eastAsia="Times New Roman" w:cstheme="minorHAnsi"/>
                <w:b/>
                <w:bCs/>
                <w:kern w:val="0"/>
                <w:lang w:eastAsia="en-GB"/>
                <w14:ligatures w14:val="none"/>
              </w:rPr>
              <w:t>.</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4E886FD4" w:rsidR="00392F82" w:rsidRPr="009C4D10" w:rsidRDefault="006F1AC8" w:rsidP="00093247">
            <w:pPr>
              <w:jc w:val="both"/>
              <w:textAlignment w:val="baseline"/>
              <w:rPr>
                <w:rFonts w:eastAsia="Times New Roman" w:cstheme="minorHAnsi"/>
                <w:kern w:val="0"/>
                <w:lang w:eastAsia="en-GB"/>
                <w14:ligatures w14:val="none"/>
              </w:rPr>
            </w:pPr>
            <w:r w:rsidRPr="006F1AC8">
              <w:rPr>
                <w:rFonts w:eastAsia="Times New Roman" w:cstheme="minorHAnsi"/>
                <w:kern w:val="0"/>
                <w:lang w:eastAsia="en-GB"/>
                <w14:ligatures w14:val="none"/>
              </w:rPr>
              <w:t xml:space="preserve">The policy ensures market integrity by requiring that all carbon credits be </w:t>
            </w:r>
            <w:r w:rsidRPr="00093247">
              <w:rPr>
                <w:rFonts w:eastAsia="Times New Roman" w:cstheme="minorHAnsi"/>
                <w:kern w:val="0"/>
                <w:lang w:eastAsia="en-GB"/>
                <w14:ligatures w14:val="none"/>
              </w:rPr>
              <w:t>real, measurable, verifiable, additional, and permanent,</w:t>
            </w:r>
            <w:r w:rsidRPr="006F1AC8">
              <w:rPr>
                <w:rFonts w:eastAsia="Times New Roman" w:cstheme="minorHAnsi"/>
                <w:kern w:val="0"/>
                <w:lang w:eastAsia="en-GB"/>
                <w14:ligatures w14:val="none"/>
              </w:rPr>
              <w:t xml:space="preserve"> and not double-counted It also mandates </w:t>
            </w:r>
            <w:r w:rsidRPr="00093247">
              <w:rPr>
                <w:rFonts w:eastAsia="Times New Roman" w:cstheme="minorHAnsi"/>
                <w:kern w:val="0"/>
                <w:lang w:eastAsia="en-GB"/>
                <w14:ligatures w14:val="none"/>
              </w:rPr>
              <w:t>stringent MRV standards, project eligibility criteria, and the development of a Manual of Procedures</w:t>
            </w:r>
            <w:r w:rsidRPr="006F1AC8">
              <w:rPr>
                <w:rFonts w:eastAsia="Times New Roman" w:cstheme="minorHAnsi"/>
                <w:kern w:val="0"/>
                <w:lang w:eastAsia="en-GB"/>
                <w14:ligatures w14:val="none"/>
              </w:rPr>
              <w:t xml:space="preserve"> to govern registration, issuance, and transactions (</w:t>
            </w:r>
            <w:r w:rsidR="00093247">
              <w:rPr>
                <w:rFonts w:eastAsia="Times New Roman" w:cstheme="minorHAnsi"/>
                <w:kern w:val="0"/>
                <w:lang w:eastAsia="en-GB"/>
                <w14:ligatures w14:val="none"/>
              </w:rPr>
              <w:t>Pages 13, 29 and 34</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1E3A7CDD" w:rsidR="00702413" w:rsidRPr="009C4D10" w:rsidRDefault="00C30F0D" w:rsidP="00CF2E7C">
            <w:pPr>
              <w:textAlignment w:val="baseline"/>
              <w:rPr>
                <w:rFonts w:eastAsia="Times New Roman" w:cstheme="minorHAnsi"/>
                <w:kern w:val="0"/>
                <w:lang w:eastAsia="en-GB"/>
                <w14:ligatures w14:val="none"/>
              </w:rPr>
            </w:pPr>
            <w:hyperlink r:id="rId18" w:history="1">
              <w:r w:rsidR="006F1AC8" w:rsidRPr="007277F5">
                <w:rPr>
                  <w:rStyle w:val="Hyperlink"/>
                  <w:rFonts w:eastAsia="Times New Roman" w:cstheme="minorHAnsi"/>
                  <w:kern w:val="0"/>
                  <w:lang w:eastAsia="en-GB"/>
                  <w14:ligatures w14:val="none"/>
                </w:rPr>
                <w:t>https://ossapcfse.org/wp-content/uploads/2025/04/Nigerias-Carbon-Market-Activation-Policy-Draft-020425.pdf</w:t>
              </w:r>
            </w:hyperlink>
            <w:r w:rsidR="006F1AC8">
              <w:rPr>
                <w:rFonts w:eastAsia="Times New Roman" w:cstheme="minorHAnsi"/>
                <w:kern w:val="0"/>
                <w:lang w:eastAsia="en-GB"/>
                <w14:ligatures w14:val="none"/>
              </w:rPr>
              <w:t xml:space="preserve"> </w:t>
            </w: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D339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C30F0D" w:rsidP="00CF2E7C">
            <w:pPr>
              <w:rPr>
                <w:rFonts w:cstheme="minorHAnsi"/>
              </w:rPr>
            </w:pPr>
            <w:hyperlink r:id="rId19"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C30F0D" w:rsidP="00CF2E7C">
            <w:pPr>
              <w:rPr>
                <w:rFonts w:cstheme="minorHAnsi"/>
              </w:rPr>
            </w:pPr>
            <w:hyperlink r:id="rId20"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F7DC87" w14:textId="77777777" w:rsidR="00C30F0D" w:rsidRDefault="00C30F0D" w:rsidP="00874E39">
      <w:r>
        <w:separator/>
      </w:r>
    </w:p>
  </w:endnote>
  <w:endnote w:type="continuationSeparator" w:id="0">
    <w:p w14:paraId="4BF11547" w14:textId="77777777" w:rsidR="00C30F0D" w:rsidRDefault="00C30F0D" w:rsidP="00874E39">
      <w:r>
        <w:continuationSeparator/>
      </w:r>
    </w:p>
  </w:endnote>
  <w:endnote w:type="continuationNotice" w:id="1">
    <w:p w14:paraId="37D4F536" w14:textId="77777777" w:rsidR="00C30F0D" w:rsidRDefault="00C30F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oel="http://schemas.microsoft.com/office/2019/extlst"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0FDD95" w14:textId="77777777" w:rsidR="00C30F0D" w:rsidRDefault="00C30F0D" w:rsidP="00874E39">
      <w:r>
        <w:separator/>
      </w:r>
    </w:p>
  </w:footnote>
  <w:footnote w:type="continuationSeparator" w:id="0">
    <w:p w14:paraId="27F50B6E" w14:textId="77777777" w:rsidR="00C30F0D" w:rsidRDefault="00C30F0D" w:rsidP="00874E39">
      <w:r>
        <w:continuationSeparator/>
      </w:r>
    </w:p>
  </w:footnote>
  <w:footnote w:type="continuationNotice" w:id="1">
    <w:p w14:paraId="48950095" w14:textId="77777777" w:rsidR="00C30F0D" w:rsidRDefault="00C30F0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45B3A44"/>
    <w:multiLevelType w:val="hybridMultilevel"/>
    <w:tmpl w:val="04FA4C8E"/>
    <w:lvl w:ilvl="0" w:tplc="0682FFB8">
      <w:start w:val="1"/>
      <w:numFmt w:val="lowerRoman"/>
      <w:lvlText w:val="%1."/>
      <w:lvlJc w:val="left"/>
      <w:pPr>
        <w:ind w:left="1080" w:hanging="72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294373F"/>
    <w:multiLevelType w:val="hybridMultilevel"/>
    <w:tmpl w:val="1C1CA3C2"/>
    <w:lvl w:ilvl="0" w:tplc="942AA5CC">
      <w:start w:val="1"/>
      <w:numFmt w:val="lowerRoman"/>
      <w:lvlText w:val="%1."/>
      <w:lvlJc w:val="left"/>
      <w:pPr>
        <w:ind w:left="1080" w:hanging="72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8"/>
  </w:num>
  <w:num w:numId="2">
    <w:abstractNumId w:val="25"/>
  </w:num>
  <w:num w:numId="3">
    <w:abstractNumId w:val="43"/>
  </w:num>
  <w:num w:numId="4">
    <w:abstractNumId w:val="1"/>
  </w:num>
  <w:num w:numId="5">
    <w:abstractNumId w:val="30"/>
  </w:num>
  <w:num w:numId="6">
    <w:abstractNumId w:val="15"/>
  </w:num>
  <w:num w:numId="7">
    <w:abstractNumId w:val="22"/>
  </w:num>
  <w:num w:numId="8">
    <w:abstractNumId w:val="36"/>
  </w:num>
  <w:num w:numId="9">
    <w:abstractNumId w:val="4"/>
  </w:num>
  <w:num w:numId="10">
    <w:abstractNumId w:val="33"/>
  </w:num>
  <w:num w:numId="11">
    <w:abstractNumId w:val="49"/>
  </w:num>
  <w:num w:numId="12">
    <w:abstractNumId w:val="10"/>
  </w:num>
  <w:num w:numId="13">
    <w:abstractNumId w:val="12"/>
  </w:num>
  <w:num w:numId="14">
    <w:abstractNumId w:val="8"/>
  </w:num>
  <w:num w:numId="15">
    <w:abstractNumId w:val="32"/>
  </w:num>
  <w:num w:numId="16">
    <w:abstractNumId w:val="21"/>
  </w:num>
  <w:num w:numId="17">
    <w:abstractNumId w:val="9"/>
  </w:num>
  <w:num w:numId="18">
    <w:abstractNumId w:val="19"/>
  </w:num>
  <w:num w:numId="19">
    <w:abstractNumId w:val="44"/>
  </w:num>
  <w:num w:numId="20">
    <w:abstractNumId w:val="17"/>
  </w:num>
  <w:num w:numId="21">
    <w:abstractNumId w:val="29"/>
  </w:num>
  <w:num w:numId="22">
    <w:abstractNumId w:val="35"/>
  </w:num>
  <w:num w:numId="23">
    <w:abstractNumId w:val="28"/>
  </w:num>
  <w:num w:numId="24">
    <w:abstractNumId w:val="46"/>
  </w:num>
  <w:num w:numId="25">
    <w:abstractNumId w:val="45"/>
  </w:num>
  <w:num w:numId="26">
    <w:abstractNumId w:val="24"/>
  </w:num>
  <w:num w:numId="27">
    <w:abstractNumId w:val="7"/>
  </w:num>
  <w:num w:numId="28">
    <w:abstractNumId w:val="14"/>
  </w:num>
  <w:num w:numId="29">
    <w:abstractNumId w:val="47"/>
  </w:num>
  <w:num w:numId="30">
    <w:abstractNumId w:val="34"/>
  </w:num>
  <w:num w:numId="31">
    <w:abstractNumId w:val="31"/>
  </w:num>
  <w:num w:numId="32">
    <w:abstractNumId w:val="37"/>
  </w:num>
  <w:num w:numId="33">
    <w:abstractNumId w:val="41"/>
  </w:num>
  <w:num w:numId="34">
    <w:abstractNumId w:val="40"/>
  </w:num>
  <w:num w:numId="35">
    <w:abstractNumId w:val="11"/>
  </w:num>
  <w:num w:numId="36">
    <w:abstractNumId w:val="39"/>
  </w:num>
  <w:num w:numId="37">
    <w:abstractNumId w:val="5"/>
  </w:num>
  <w:num w:numId="38">
    <w:abstractNumId w:val="3"/>
  </w:num>
  <w:num w:numId="39">
    <w:abstractNumId w:val="26"/>
  </w:num>
  <w:num w:numId="40">
    <w:abstractNumId w:val="23"/>
  </w:num>
  <w:num w:numId="41">
    <w:abstractNumId w:val="20"/>
  </w:num>
  <w:num w:numId="42">
    <w:abstractNumId w:val="16"/>
  </w:num>
  <w:num w:numId="43">
    <w:abstractNumId w:val="0"/>
  </w:num>
  <w:num w:numId="44">
    <w:abstractNumId w:val="6"/>
  </w:num>
  <w:num w:numId="45">
    <w:abstractNumId w:val="42"/>
  </w:num>
  <w:num w:numId="46">
    <w:abstractNumId w:val="48"/>
  </w:num>
  <w:num w:numId="47">
    <w:abstractNumId w:val="27"/>
  </w:num>
  <w:num w:numId="48">
    <w:abstractNumId w:val="38"/>
  </w:num>
  <w:num w:numId="49">
    <w:abstractNumId w:val="13"/>
  </w:num>
  <w:num w:numId="50">
    <w:abstractNumId w:val="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1"/>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247"/>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27D"/>
    <w:rsid w:val="00244207"/>
    <w:rsid w:val="0024463A"/>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3E60"/>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37FB"/>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194"/>
    <w:rsid w:val="003032A9"/>
    <w:rsid w:val="00303B91"/>
    <w:rsid w:val="00303D9A"/>
    <w:rsid w:val="00304070"/>
    <w:rsid w:val="00306538"/>
    <w:rsid w:val="00307058"/>
    <w:rsid w:val="003071A8"/>
    <w:rsid w:val="00307464"/>
    <w:rsid w:val="00307E7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14B"/>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02A8"/>
    <w:rsid w:val="003510A0"/>
    <w:rsid w:val="003514EB"/>
    <w:rsid w:val="00352152"/>
    <w:rsid w:val="003525D5"/>
    <w:rsid w:val="00353C12"/>
    <w:rsid w:val="003540A1"/>
    <w:rsid w:val="003544E0"/>
    <w:rsid w:val="00355F46"/>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38A"/>
    <w:rsid w:val="003A0C73"/>
    <w:rsid w:val="003A144F"/>
    <w:rsid w:val="003A2976"/>
    <w:rsid w:val="003A2E5E"/>
    <w:rsid w:val="003A4A9F"/>
    <w:rsid w:val="003A52E3"/>
    <w:rsid w:val="003A5B03"/>
    <w:rsid w:val="003A7E28"/>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56D"/>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142E"/>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1F04"/>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015"/>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1AC8"/>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2DFB"/>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278E"/>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57BB6"/>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6B7"/>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7A9"/>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1E42"/>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1E01"/>
    <w:rsid w:val="00BD3AB4"/>
    <w:rsid w:val="00BD6932"/>
    <w:rsid w:val="00BD6D24"/>
    <w:rsid w:val="00BE049B"/>
    <w:rsid w:val="00BE0825"/>
    <w:rsid w:val="00BE09D7"/>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0F0D"/>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6716"/>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C8C"/>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6B6"/>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58B"/>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6B1015"/>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07077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99891199">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68655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ossapcfse.org/wp-content/uploads/2025/04/Nigerias-Carbon-Market-Activation-Policy-Draft-020425.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ossapcfse.org/wp-content/uploads/2025/04/Nigerias-Carbon-Market-Activation-Policy-Draft-020425.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113</Pages>
  <Words>23234</Words>
  <Characters>132435</Characters>
  <Application>Microsoft Office Word</Application>
  <DocSecurity>0</DocSecurity>
  <Lines>1103</Lines>
  <Paragraphs>310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4</cp:revision>
  <cp:lastPrinted>2025-03-21T00:14:00Z</cp:lastPrinted>
  <dcterms:created xsi:type="dcterms:W3CDTF">2025-07-27T12:35:00Z</dcterms:created>
  <dcterms:modified xsi:type="dcterms:W3CDTF">2025-08-05T21:47:00Z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